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292" w:type="dxa"/>
        <w:tblCellSpacing w:w="0" w:type="dxa"/>
        <w:tblInd w:w="-142" w:type="dxa"/>
        <w:tblCellMar>
          <w:left w:w="0" w:type="dxa"/>
          <w:right w:w="0" w:type="dxa"/>
        </w:tblCellMar>
        <w:tblLook w:val="04A0"/>
      </w:tblPr>
      <w:tblGrid>
        <w:gridCol w:w="1154"/>
        <w:gridCol w:w="2429"/>
        <w:gridCol w:w="1013"/>
        <w:gridCol w:w="2552"/>
        <w:gridCol w:w="1013"/>
        <w:gridCol w:w="4131"/>
      </w:tblGrid>
      <w:tr w:rsidR="00BF774E" w:rsidRPr="00BF774E" w:rsidTr="00D31441">
        <w:trPr>
          <w:tblCellSpacing w:w="0" w:type="dxa"/>
        </w:trPr>
        <w:tc>
          <w:tcPr>
            <w:tcW w:w="1154" w:type="dxa"/>
            <w:tcBorders>
              <w:top w:val="nil"/>
              <w:left w:val="nil"/>
              <w:bottom w:val="nil"/>
              <w:right w:val="nil"/>
            </w:tcBorders>
            <w:hideMark/>
          </w:tcPr>
          <w:p w:rsidR="00BF774E" w:rsidRPr="00BF774E" w:rsidRDefault="00BF774E" w:rsidP="00BF774E">
            <w:pPr>
              <w:widowControl/>
              <w:spacing w:line="375" w:lineRule="atLeast"/>
              <w:jc w:val="left"/>
              <w:rPr>
                <w:rFonts w:ascii="宋体" w:eastAsia="宋体" w:hAnsi="宋体" w:cs="宋体"/>
                <w:b/>
                <w:bCs/>
                <w:color w:val="4B4B4B"/>
                <w:kern w:val="0"/>
                <w:szCs w:val="21"/>
              </w:rPr>
            </w:pPr>
          </w:p>
        </w:tc>
        <w:tc>
          <w:tcPr>
            <w:tcW w:w="11138" w:type="dxa"/>
            <w:gridSpan w:val="5"/>
            <w:tcBorders>
              <w:top w:val="nil"/>
              <w:left w:val="nil"/>
              <w:bottom w:val="nil"/>
              <w:right w:val="nil"/>
            </w:tcBorders>
            <w:hideMark/>
          </w:tcPr>
          <w:p w:rsidR="00BF774E" w:rsidRPr="00BF774E" w:rsidRDefault="00BF774E" w:rsidP="00BF774E">
            <w:pPr>
              <w:widowControl/>
              <w:spacing w:line="375" w:lineRule="atLeast"/>
              <w:jc w:val="left"/>
              <w:rPr>
                <w:rFonts w:ascii="宋体" w:eastAsia="宋体" w:hAnsi="宋体" w:cs="宋体"/>
                <w:color w:val="4B4B4B"/>
                <w:kern w:val="0"/>
                <w:szCs w:val="21"/>
              </w:rPr>
            </w:pPr>
          </w:p>
        </w:tc>
      </w:tr>
      <w:tr w:rsidR="00BF774E" w:rsidRPr="00BF774E" w:rsidTr="00D31441">
        <w:trPr>
          <w:tblCellSpacing w:w="0" w:type="dxa"/>
        </w:trPr>
        <w:tc>
          <w:tcPr>
            <w:tcW w:w="1154" w:type="dxa"/>
            <w:tcBorders>
              <w:top w:val="nil"/>
              <w:left w:val="nil"/>
              <w:bottom w:val="nil"/>
              <w:right w:val="nil"/>
            </w:tcBorders>
            <w:hideMark/>
          </w:tcPr>
          <w:p w:rsidR="00BF774E" w:rsidRPr="00BF774E" w:rsidRDefault="00BF774E" w:rsidP="00BF774E">
            <w:pPr>
              <w:widowControl/>
              <w:spacing w:line="375" w:lineRule="atLeast"/>
              <w:jc w:val="left"/>
              <w:rPr>
                <w:rFonts w:ascii="宋体" w:eastAsia="宋体" w:hAnsi="宋体" w:cs="宋体"/>
                <w:b/>
                <w:bCs/>
                <w:color w:val="4B4B4B"/>
                <w:kern w:val="0"/>
                <w:szCs w:val="21"/>
              </w:rPr>
            </w:pPr>
          </w:p>
        </w:tc>
        <w:tc>
          <w:tcPr>
            <w:tcW w:w="2429" w:type="dxa"/>
            <w:tcBorders>
              <w:top w:val="nil"/>
              <w:left w:val="nil"/>
              <w:bottom w:val="nil"/>
              <w:right w:val="nil"/>
            </w:tcBorders>
            <w:hideMark/>
          </w:tcPr>
          <w:p w:rsidR="00BF774E" w:rsidRPr="00BF774E" w:rsidRDefault="00BF774E" w:rsidP="00BF774E">
            <w:pPr>
              <w:widowControl/>
              <w:spacing w:line="375" w:lineRule="atLeast"/>
              <w:jc w:val="left"/>
              <w:rPr>
                <w:rFonts w:ascii="宋体" w:eastAsia="宋体" w:hAnsi="宋体" w:cs="宋体"/>
                <w:color w:val="4B4B4B"/>
                <w:kern w:val="0"/>
                <w:szCs w:val="21"/>
              </w:rPr>
            </w:pPr>
          </w:p>
        </w:tc>
        <w:tc>
          <w:tcPr>
            <w:tcW w:w="1013" w:type="dxa"/>
            <w:tcBorders>
              <w:top w:val="nil"/>
              <w:left w:val="nil"/>
              <w:bottom w:val="nil"/>
              <w:right w:val="nil"/>
            </w:tcBorders>
            <w:hideMark/>
          </w:tcPr>
          <w:p w:rsidR="00BF774E" w:rsidRPr="00BF774E" w:rsidRDefault="00BF774E" w:rsidP="00BF774E">
            <w:pPr>
              <w:widowControl/>
              <w:spacing w:line="375" w:lineRule="atLeast"/>
              <w:jc w:val="left"/>
              <w:rPr>
                <w:rFonts w:ascii="宋体" w:eastAsia="宋体" w:hAnsi="宋体" w:cs="宋体"/>
                <w:b/>
                <w:bCs/>
                <w:color w:val="4B4B4B"/>
                <w:kern w:val="0"/>
                <w:szCs w:val="21"/>
              </w:rPr>
            </w:pPr>
          </w:p>
        </w:tc>
        <w:tc>
          <w:tcPr>
            <w:tcW w:w="2552" w:type="dxa"/>
            <w:tcBorders>
              <w:top w:val="nil"/>
              <w:left w:val="nil"/>
              <w:bottom w:val="nil"/>
              <w:right w:val="nil"/>
            </w:tcBorders>
            <w:hideMark/>
          </w:tcPr>
          <w:p w:rsidR="00BF774E" w:rsidRPr="00BF774E" w:rsidRDefault="00BF774E" w:rsidP="00BF774E">
            <w:pPr>
              <w:widowControl/>
              <w:spacing w:line="375" w:lineRule="atLeast"/>
              <w:jc w:val="left"/>
              <w:rPr>
                <w:rFonts w:ascii="宋体" w:eastAsia="宋体" w:hAnsi="宋体" w:cs="宋体"/>
                <w:color w:val="4B4B4B"/>
                <w:kern w:val="0"/>
                <w:szCs w:val="21"/>
              </w:rPr>
            </w:pPr>
          </w:p>
        </w:tc>
        <w:tc>
          <w:tcPr>
            <w:tcW w:w="1013" w:type="dxa"/>
            <w:tcBorders>
              <w:top w:val="nil"/>
              <w:left w:val="nil"/>
              <w:bottom w:val="nil"/>
              <w:right w:val="nil"/>
            </w:tcBorders>
            <w:hideMark/>
          </w:tcPr>
          <w:p w:rsidR="00BF774E" w:rsidRPr="00BF774E" w:rsidRDefault="00BF774E" w:rsidP="00BF774E">
            <w:pPr>
              <w:widowControl/>
              <w:spacing w:line="375" w:lineRule="atLeast"/>
              <w:jc w:val="left"/>
              <w:rPr>
                <w:rFonts w:ascii="宋体" w:eastAsia="宋体" w:hAnsi="宋体" w:cs="宋体"/>
                <w:b/>
                <w:bCs/>
                <w:color w:val="4B4B4B"/>
                <w:kern w:val="0"/>
                <w:szCs w:val="21"/>
              </w:rPr>
            </w:pPr>
          </w:p>
        </w:tc>
        <w:tc>
          <w:tcPr>
            <w:tcW w:w="4131" w:type="dxa"/>
            <w:tcBorders>
              <w:top w:val="nil"/>
              <w:left w:val="nil"/>
              <w:bottom w:val="nil"/>
              <w:right w:val="nil"/>
            </w:tcBorders>
            <w:hideMark/>
          </w:tcPr>
          <w:p w:rsidR="00BF774E" w:rsidRPr="00BF774E" w:rsidRDefault="00BF774E" w:rsidP="00BF774E">
            <w:pPr>
              <w:widowControl/>
              <w:spacing w:line="375" w:lineRule="atLeast"/>
              <w:jc w:val="left"/>
              <w:rPr>
                <w:rFonts w:ascii="宋体" w:eastAsia="宋体" w:hAnsi="宋体" w:cs="宋体"/>
                <w:color w:val="4B4B4B"/>
                <w:kern w:val="0"/>
                <w:szCs w:val="21"/>
              </w:rPr>
            </w:pPr>
          </w:p>
        </w:tc>
      </w:tr>
      <w:tr w:rsidR="00BF774E" w:rsidRPr="00BF774E" w:rsidTr="00D31441">
        <w:trPr>
          <w:tblCellSpacing w:w="0" w:type="dxa"/>
        </w:trPr>
        <w:tc>
          <w:tcPr>
            <w:tcW w:w="1154" w:type="dxa"/>
            <w:tcBorders>
              <w:top w:val="nil"/>
              <w:left w:val="nil"/>
              <w:bottom w:val="nil"/>
              <w:right w:val="nil"/>
            </w:tcBorders>
            <w:hideMark/>
          </w:tcPr>
          <w:p w:rsidR="00BF774E" w:rsidRPr="00BF774E" w:rsidRDefault="00BF774E" w:rsidP="00BF774E">
            <w:pPr>
              <w:widowControl/>
              <w:spacing w:line="375" w:lineRule="atLeast"/>
              <w:jc w:val="left"/>
              <w:rPr>
                <w:rFonts w:ascii="宋体" w:eastAsia="宋体" w:hAnsi="宋体" w:cs="宋体"/>
                <w:b/>
                <w:bCs/>
                <w:color w:val="4B4B4B"/>
                <w:kern w:val="0"/>
                <w:szCs w:val="21"/>
              </w:rPr>
            </w:pPr>
          </w:p>
        </w:tc>
        <w:tc>
          <w:tcPr>
            <w:tcW w:w="2429" w:type="dxa"/>
            <w:tcBorders>
              <w:top w:val="nil"/>
              <w:left w:val="nil"/>
              <w:bottom w:val="nil"/>
              <w:right w:val="nil"/>
            </w:tcBorders>
            <w:hideMark/>
          </w:tcPr>
          <w:p w:rsidR="00BF774E" w:rsidRPr="00BF774E" w:rsidRDefault="00BF774E" w:rsidP="00BF774E">
            <w:pPr>
              <w:widowControl/>
              <w:spacing w:line="375" w:lineRule="atLeast"/>
              <w:jc w:val="left"/>
              <w:rPr>
                <w:rFonts w:ascii="宋体" w:eastAsia="宋体" w:hAnsi="宋体" w:cs="宋体"/>
                <w:color w:val="4B4B4B"/>
                <w:kern w:val="0"/>
                <w:szCs w:val="21"/>
              </w:rPr>
            </w:pPr>
          </w:p>
        </w:tc>
        <w:tc>
          <w:tcPr>
            <w:tcW w:w="1013" w:type="dxa"/>
            <w:tcBorders>
              <w:top w:val="nil"/>
              <w:left w:val="nil"/>
              <w:bottom w:val="nil"/>
              <w:right w:val="nil"/>
            </w:tcBorders>
            <w:hideMark/>
          </w:tcPr>
          <w:p w:rsidR="00BF774E" w:rsidRPr="00BF774E" w:rsidRDefault="00BF774E" w:rsidP="00BF774E">
            <w:pPr>
              <w:widowControl/>
              <w:spacing w:line="375" w:lineRule="atLeast"/>
              <w:jc w:val="left"/>
              <w:rPr>
                <w:rFonts w:ascii="宋体" w:eastAsia="宋体" w:hAnsi="宋体" w:cs="宋体"/>
                <w:b/>
                <w:bCs/>
                <w:color w:val="4B4B4B"/>
                <w:kern w:val="0"/>
                <w:szCs w:val="21"/>
              </w:rPr>
            </w:pPr>
          </w:p>
        </w:tc>
        <w:tc>
          <w:tcPr>
            <w:tcW w:w="7696" w:type="dxa"/>
            <w:gridSpan w:val="3"/>
            <w:tcBorders>
              <w:top w:val="nil"/>
              <w:left w:val="nil"/>
              <w:bottom w:val="nil"/>
              <w:right w:val="nil"/>
            </w:tcBorders>
            <w:hideMark/>
          </w:tcPr>
          <w:p w:rsidR="00BF774E" w:rsidRPr="00BF774E" w:rsidRDefault="00BF774E" w:rsidP="00BF774E">
            <w:pPr>
              <w:widowControl/>
              <w:spacing w:line="375" w:lineRule="atLeast"/>
              <w:jc w:val="left"/>
              <w:rPr>
                <w:rFonts w:ascii="宋体" w:eastAsia="宋体" w:hAnsi="宋体" w:cs="宋体"/>
                <w:color w:val="4B4B4B"/>
                <w:kern w:val="0"/>
                <w:szCs w:val="21"/>
              </w:rPr>
            </w:pPr>
          </w:p>
        </w:tc>
      </w:tr>
      <w:tr w:rsidR="00BF774E" w:rsidRPr="00BF774E" w:rsidTr="00D31441">
        <w:trPr>
          <w:tblCellSpacing w:w="0" w:type="dxa"/>
        </w:trPr>
        <w:tc>
          <w:tcPr>
            <w:tcW w:w="1154" w:type="dxa"/>
            <w:tcBorders>
              <w:top w:val="nil"/>
              <w:left w:val="nil"/>
              <w:bottom w:val="nil"/>
              <w:right w:val="nil"/>
            </w:tcBorders>
            <w:hideMark/>
          </w:tcPr>
          <w:p w:rsidR="00BF774E" w:rsidRPr="00BF774E" w:rsidRDefault="00BF774E" w:rsidP="00BF774E">
            <w:pPr>
              <w:widowControl/>
              <w:spacing w:line="375" w:lineRule="atLeast"/>
              <w:jc w:val="left"/>
              <w:rPr>
                <w:rFonts w:ascii="宋体" w:eastAsia="宋体" w:hAnsi="宋体" w:cs="宋体"/>
                <w:b/>
                <w:bCs/>
                <w:color w:val="4B4B4B"/>
                <w:kern w:val="0"/>
                <w:szCs w:val="21"/>
              </w:rPr>
            </w:pPr>
          </w:p>
        </w:tc>
        <w:tc>
          <w:tcPr>
            <w:tcW w:w="11138" w:type="dxa"/>
            <w:gridSpan w:val="5"/>
            <w:tcBorders>
              <w:top w:val="nil"/>
              <w:left w:val="nil"/>
              <w:bottom w:val="nil"/>
              <w:right w:val="nil"/>
            </w:tcBorders>
            <w:hideMark/>
          </w:tcPr>
          <w:p w:rsidR="00BF774E" w:rsidRPr="00BF774E" w:rsidRDefault="00BF774E" w:rsidP="00BF774E">
            <w:pPr>
              <w:widowControl/>
              <w:spacing w:line="375" w:lineRule="atLeast"/>
              <w:jc w:val="left"/>
              <w:rPr>
                <w:rFonts w:ascii="宋体" w:eastAsia="宋体" w:hAnsi="宋体" w:cs="宋体"/>
                <w:color w:val="4B4B4B"/>
                <w:kern w:val="0"/>
                <w:szCs w:val="21"/>
              </w:rPr>
            </w:pPr>
          </w:p>
        </w:tc>
      </w:tr>
    </w:tbl>
    <w:p w:rsidR="00BF774E" w:rsidRPr="00BF774E" w:rsidRDefault="00BF774E" w:rsidP="00BF774E">
      <w:pPr>
        <w:widowControl/>
        <w:jc w:val="center"/>
        <w:outlineLvl w:val="0"/>
        <w:rPr>
          <w:rFonts w:ascii="微软雅黑" w:eastAsia="微软雅黑" w:hAnsi="微软雅黑" w:cs="宋体"/>
          <w:b/>
          <w:bCs/>
          <w:color w:val="4B4B4B"/>
          <w:kern w:val="36"/>
          <w:sz w:val="30"/>
          <w:szCs w:val="30"/>
        </w:rPr>
      </w:pPr>
      <w:r w:rsidRPr="00BF774E">
        <w:rPr>
          <w:rFonts w:ascii="微软雅黑" w:eastAsia="微软雅黑" w:hAnsi="微软雅黑" w:cs="宋体" w:hint="eastAsia"/>
          <w:b/>
          <w:bCs/>
          <w:color w:val="4B4B4B"/>
          <w:kern w:val="36"/>
          <w:sz w:val="30"/>
          <w:szCs w:val="30"/>
        </w:rPr>
        <w:t>教育部关于印发《本科毕业论文（设计）</w:t>
      </w:r>
      <w:r w:rsidRPr="00BF774E">
        <w:rPr>
          <w:rFonts w:ascii="微软雅黑" w:eastAsia="微软雅黑" w:hAnsi="微软雅黑" w:cs="宋体" w:hint="eastAsia"/>
          <w:b/>
          <w:bCs/>
          <w:color w:val="4B4B4B"/>
          <w:kern w:val="36"/>
          <w:sz w:val="30"/>
          <w:szCs w:val="30"/>
        </w:rPr>
        <w:br/>
        <w:t>抽检办法（试行）》的通知</w:t>
      </w:r>
    </w:p>
    <w:p w:rsidR="00BF774E" w:rsidRPr="00BF774E" w:rsidRDefault="00BF774E" w:rsidP="00BF774E">
      <w:pPr>
        <w:widowControl/>
        <w:spacing w:line="480" w:lineRule="atLeast"/>
        <w:jc w:val="righ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教督〔2020〕5号</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为贯彻落实《深化新时代教育评价改革总体方案》和《关于深化新时代教育督导体制机制改革的意见》，加强和改进教育督导评估监测，保证本科人才培养基本质量，特制定《本科毕业论文（设计）抽检办法（试行）》。现将该办法印发给你们，请遵照执行。</w:t>
      </w:r>
    </w:p>
    <w:p w:rsidR="00BF774E" w:rsidRPr="00BF774E" w:rsidRDefault="00BF774E" w:rsidP="00BF774E">
      <w:pPr>
        <w:widowControl/>
        <w:spacing w:line="480" w:lineRule="atLeast"/>
        <w:jc w:val="righ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教育部</w:t>
      </w:r>
    </w:p>
    <w:p w:rsidR="00BF774E" w:rsidRPr="00BF774E" w:rsidRDefault="00BF774E" w:rsidP="00BF774E">
      <w:pPr>
        <w:widowControl/>
        <w:spacing w:line="480" w:lineRule="atLeast"/>
        <w:jc w:val="righ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2020年12月24日</w:t>
      </w:r>
    </w:p>
    <w:p w:rsidR="00BF774E" w:rsidRPr="00BF774E" w:rsidRDefault="00BF774E" w:rsidP="00BF774E">
      <w:pPr>
        <w:widowControl/>
        <w:spacing w:line="480" w:lineRule="atLeast"/>
        <w:jc w:val="center"/>
        <w:rPr>
          <w:rFonts w:ascii="微软雅黑" w:eastAsia="微软雅黑" w:hAnsi="微软雅黑" w:cs="宋体"/>
          <w:color w:val="4B4B4B"/>
          <w:kern w:val="0"/>
          <w:sz w:val="24"/>
          <w:szCs w:val="24"/>
        </w:rPr>
      </w:pPr>
      <w:r w:rsidRPr="00BF774E">
        <w:rPr>
          <w:rFonts w:ascii="微软雅黑" w:eastAsia="微软雅黑" w:hAnsi="微软雅黑" w:cs="宋体" w:hint="eastAsia"/>
          <w:b/>
          <w:bCs/>
          <w:color w:val="4B4B4B"/>
          <w:kern w:val="0"/>
          <w:sz w:val="24"/>
          <w:szCs w:val="24"/>
          <w:bdr w:val="none" w:sz="0" w:space="0" w:color="auto" w:frame="1"/>
        </w:rPr>
        <w:t>本科毕业论文（设计）抽检办法（试行）</w:t>
      </w:r>
    </w:p>
    <w:p w:rsidR="00BF774E" w:rsidRPr="00BF774E" w:rsidRDefault="00BF774E" w:rsidP="00BF774E">
      <w:pPr>
        <w:widowControl/>
        <w:spacing w:line="480" w:lineRule="atLeast"/>
        <w:jc w:val="center"/>
        <w:rPr>
          <w:rFonts w:ascii="微软雅黑" w:eastAsia="微软雅黑" w:hAnsi="微软雅黑" w:cs="宋体"/>
          <w:color w:val="4B4B4B"/>
          <w:kern w:val="0"/>
          <w:sz w:val="24"/>
          <w:szCs w:val="24"/>
        </w:rPr>
      </w:pPr>
      <w:r w:rsidRPr="00BF774E">
        <w:rPr>
          <w:rFonts w:ascii="微软雅黑" w:eastAsia="微软雅黑" w:hAnsi="微软雅黑" w:cs="宋体" w:hint="eastAsia"/>
          <w:b/>
          <w:bCs/>
          <w:color w:val="4B4B4B"/>
          <w:kern w:val="0"/>
          <w:sz w:val="24"/>
          <w:szCs w:val="24"/>
          <w:bdr w:val="none" w:sz="0" w:space="0" w:color="auto" w:frame="1"/>
        </w:rPr>
        <w:t>第一章 总则</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第一条 按照《深化新时代教育评价改革总体方案》和《关于深化新时代教育督导体制机制改革的意见》要求，为加强和改进教育督导评估监测，做好本科毕业论文（设计）（以下简称本科毕业论文）抽检工作，保证本科人才培养基本质量，制定本办法。</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第二条 教育部负责本科毕业论文抽检的统筹组织和监督，省级教育行政部门负责本地区本科毕业论文抽检的具体实施。其中，中国人民解放军有关部门负责军队系统本科毕业论文抽检的具体实施。</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第三条 本科毕业论文抽检工作应遵循独立、客观、科学、公正原则，任何单位和个人都不得以任何方式干扰抽检工作的正常进行。</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lastRenderedPageBreak/>
        <w:t xml:space="preserve">　　第四条 本科毕业论文抽检每年进行一次，抽检对象为上一学年度授予学士学位的论文，抽检比例原则上应不低于2%。</w:t>
      </w:r>
    </w:p>
    <w:p w:rsidR="00BF774E" w:rsidRPr="00BF774E" w:rsidRDefault="00BF774E" w:rsidP="00BF774E">
      <w:pPr>
        <w:widowControl/>
        <w:spacing w:line="480" w:lineRule="atLeast"/>
        <w:jc w:val="center"/>
        <w:rPr>
          <w:rFonts w:ascii="微软雅黑" w:eastAsia="微软雅黑" w:hAnsi="微软雅黑" w:cs="宋体"/>
          <w:color w:val="4B4B4B"/>
          <w:kern w:val="0"/>
          <w:sz w:val="24"/>
          <w:szCs w:val="24"/>
        </w:rPr>
      </w:pPr>
      <w:r w:rsidRPr="00BF774E">
        <w:rPr>
          <w:rFonts w:ascii="微软雅黑" w:eastAsia="微软雅黑" w:hAnsi="微软雅黑" w:cs="宋体" w:hint="eastAsia"/>
          <w:b/>
          <w:bCs/>
          <w:color w:val="4B4B4B"/>
          <w:kern w:val="0"/>
          <w:sz w:val="24"/>
          <w:szCs w:val="24"/>
          <w:bdr w:val="none" w:sz="0" w:space="0" w:color="auto" w:frame="1"/>
        </w:rPr>
        <w:t>第二章 评议要素和重点</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第五条 省级教育行政部门要参照《普通高等学校本科专业类教学质量国家标准》等要求，结合本地区工作实际，按照《普通高等学校本科专业目录（2020年版）》学科门类分别制定本科毕业论文抽检评议要素。</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第六条 本科毕业论文抽检应重点对选题意义、写作安排、逻辑构建、专业能力以及学术规范等进行考察。</w:t>
      </w:r>
    </w:p>
    <w:p w:rsidR="00BF774E" w:rsidRPr="00BF774E" w:rsidRDefault="00BF774E" w:rsidP="00BF774E">
      <w:pPr>
        <w:widowControl/>
        <w:spacing w:line="480" w:lineRule="atLeast"/>
        <w:jc w:val="center"/>
        <w:rPr>
          <w:rFonts w:ascii="微软雅黑" w:eastAsia="微软雅黑" w:hAnsi="微软雅黑" w:cs="宋体"/>
          <w:color w:val="4B4B4B"/>
          <w:kern w:val="0"/>
          <w:sz w:val="24"/>
          <w:szCs w:val="24"/>
        </w:rPr>
      </w:pPr>
      <w:r w:rsidRPr="00BF774E">
        <w:rPr>
          <w:rFonts w:ascii="微软雅黑" w:eastAsia="微软雅黑" w:hAnsi="微软雅黑" w:cs="宋体" w:hint="eastAsia"/>
          <w:b/>
          <w:bCs/>
          <w:color w:val="4B4B4B"/>
          <w:kern w:val="0"/>
          <w:sz w:val="24"/>
          <w:szCs w:val="24"/>
          <w:bdr w:val="none" w:sz="0" w:space="0" w:color="auto" w:frame="1"/>
        </w:rPr>
        <w:t>第三章 工作程序</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第七条 教育部建立全国本科毕业论文抽检信息平台（以下简称抽检信息平台），面向省级教育行政部门提供学术不端行为检测、毕业论文提取和专家评审等定制功能，对各省级教育行政部门开展本科毕业论文抽检工作实行全过程监督。</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第八条 省级教育行政部门基于抽检信息平台和本地区学士学位授予信息，采取随机抽取的方式确定抽检名单。抽检论文要覆盖本地区所有本科层次普通高校及其全部本科专业。</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第九条 省级教育行政部门利用抽检信息平台对抽检论文进行学术不端行为检测，检测结果供专家评审参考。</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第十条 省级教育行政部门采取随机匹配方式组织同行专家对抽检论文进行评议，提出评议意见。每篇论文送3位同行专家，3位专家中有2位以上（含2位）专家评议意见为“不合格”的毕业论文，将认定为“存在问题毕业论文”。3位专家中有1位专家评议意见为“不合格”，将再送2位同行专家进行复评。</w:t>
      </w:r>
      <w:r w:rsidRPr="00BF774E">
        <w:rPr>
          <w:rFonts w:ascii="微软雅黑" w:eastAsia="微软雅黑" w:hAnsi="微软雅黑" w:cs="宋体" w:hint="eastAsia"/>
          <w:color w:val="4B4B4B"/>
          <w:kern w:val="0"/>
          <w:sz w:val="24"/>
          <w:szCs w:val="24"/>
        </w:rPr>
        <w:lastRenderedPageBreak/>
        <w:t>2位复评专家中有1位以上（含1位）专家评议意见为“不合格”，将认定为“存在问题毕业论文”。</w:t>
      </w:r>
    </w:p>
    <w:p w:rsidR="00BF774E" w:rsidRPr="00BF774E" w:rsidRDefault="00BF774E" w:rsidP="00BF774E">
      <w:pPr>
        <w:widowControl/>
        <w:spacing w:line="480" w:lineRule="atLeast"/>
        <w:jc w:val="center"/>
        <w:rPr>
          <w:rFonts w:ascii="微软雅黑" w:eastAsia="微软雅黑" w:hAnsi="微软雅黑" w:cs="宋体"/>
          <w:color w:val="4B4B4B"/>
          <w:kern w:val="0"/>
          <w:sz w:val="24"/>
          <w:szCs w:val="24"/>
        </w:rPr>
      </w:pPr>
      <w:r w:rsidRPr="00BF774E">
        <w:rPr>
          <w:rFonts w:ascii="微软雅黑" w:eastAsia="微软雅黑" w:hAnsi="微软雅黑" w:cs="宋体" w:hint="eastAsia"/>
          <w:b/>
          <w:bCs/>
          <w:color w:val="4B4B4B"/>
          <w:kern w:val="0"/>
          <w:sz w:val="24"/>
          <w:szCs w:val="24"/>
          <w:bdr w:val="none" w:sz="0" w:space="0" w:color="auto" w:frame="1"/>
        </w:rPr>
        <w:t>第四章 结果反馈与使用</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第十一条 本科毕业论文抽检结果由省级教育行政部门向有关高校反馈、抄送省级学位委员会，同时报教育部备案。</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第十二条 本科毕业论文抽检结果的使用。</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（一）抽检结果以适当方式向社会公开。</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二）对连续2年均有“存在问题毕业论文”，且比例较高或篇数较多的高校，省级教育行政部门应在本省域内予以通报，减少其招生计划，并进行质量约谈，提出限期整改要求。高校应对有关部门、学院和个人的人才培养责任落实情况进行调查，依据有关规定予以追责。</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（三）对连续3年抽检存在问题较多的本科专业，经整改仍无法达到要求者，视为不能保证培养质量，省级教育行政部门应依据有关规定责令其暂停招生，或由省级学位委员会撤销其学士学位授权点。</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（四）对涉嫌存在抄袭、剽窃、伪造、篡改、买卖、代写等学术不端行为的毕业论文，高校应按照相关程序进行调查核实，对查实的应依法撤销已授予学位，并注销学位证书。</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（五）抽检结果将作为本科教育教学评估、一流本科专业建设、本科专业认证以及专业建设经费投入等教育资源配置的重要参考依据。</w:t>
      </w:r>
    </w:p>
    <w:p w:rsidR="00BF774E" w:rsidRPr="00BF774E" w:rsidRDefault="00BF774E" w:rsidP="00BF774E">
      <w:pPr>
        <w:widowControl/>
        <w:spacing w:line="480" w:lineRule="atLeast"/>
        <w:jc w:val="center"/>
        <w:rPr>
          <w:rFonts w:ascii="微软雅黑" w:eastAsia="微软雅黑" w:hAnsi="微软雅黑" w:cs="宋体"/>
          <w:color w:val="4B4B4B"/>
          <w:kern w:val="0"/>
          <w:sz w:val="24"/>
          <w:szCs w:val="24"/>
        </w:rPr>
      </w:pPr>
      <w:r w:rsidRPr="00BF774E">
        <w:rPr>
          <w:rFonts w:ascii="微软雅黑" w:eastAsia="微软雅黑" w:hAnsi="微软雅黑" w:cs="宋体" w:hint="eastAsia"/>
          <w:b/>
          <w:bCs/>
          <w:color w:val="4B4B4B"/>
          <w:kern w:val="0"/>
          <w:sz w:val="24"/>
          <w:szCs w:val="24"/>
          <w:bdr w:val="none" w:sz="0" w:space="0" w:color="auto" w:frame="1"/>
        </w:rPr>
        <w:t>第五章 监督与保障</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第十三条 教育部定期对各省级教育行政部门本科毕业论文抽检工作情况开展监督检查，并将工作情况纳入省级人民政府履行教育职责评价的范畴。</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lastRenderedPageBreak/>
        <w:t xml:space="preserve">　　第十四条 省级教育行政部门应保障本科毕业论文抽检工作经费，列入年度工作预算，确保抽检工作顺利开展。</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第十五条 省级教育行政部门应建立本科毕业论文抽检申诉机制，规范申诉处理程序，保障有关高校和学生的合法权益。</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第十六条 各有关高校应按照所在地省级教育行政部门的有关要求，积极配合本科毕业论文抽检工作，准确完整地提供本科毕业论文、学位授予信息等材料。</w:t>
      </w:r>
    </w:p>
    <w:p w:rsidR="00BF774E" w:rsidRPr="00BF774E" w:rsidRDefault="00BF774E" w:rsidP="00BF774E">
      <w:pPr>
        <w:widowControl/>
        <w:spacing w:line="480" w:lineRule="atLeast"/>
        <w:jc w:val="center"/>
        <w:rPr>
          <w:rFonts w:ascii="微软雅黑" w:eastAsia="微软雅黑" w:hAnsi="微软雅黑" w:cs="宋体"/>
          <w:color w:val="4B4B4B"/>
          <w:kern w:val="0"/>
          <w:sz w:val="24"/>
          <w:szCs w:val="24"/>
        </w:rPr>
      </w:pPr>
      <w:r w:rsidRPr="00BF774E">
        <w:rPr>
          <w:rFonts w:ascii="微软雅黑" w:eastAsia="微软雅黑" w:hAnsi="微软雅黑" w:cs="宋体" w:hint="eastAsia"/>
          <w:b/>
          <w:bCs/>
          <w:color w:val="4B4B4B"/>
          <w:kern w:val="0"/>
          <w:sz w:val="24"/>
          <w:szCs w:val="24"/>
          <w:bdr w:val="none" w:sz="0" w:space="0" w:color="auto" w:frame="1"/>
        </w:rPr>
        <w:t>第六章 附则</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第十七条 省级教育行政部门要参照本办法，结合地方实际，制定本省（区、市）本科毕业论文抽检工作实施细则，并报教育部备案。</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第十八条 本办法由教育部负责解释。</w:t>
      </w:r>
    </w:p>
    <w:p w:rsidR="00BF774E" w:rsidRPr="00BF774E" w:rsidRDefault="00BF774E" w:rsidP="00BF774E">
      <w:pPr>
        <w:widowControl/>
        <w:spacing w:line="480" w:lineRule="atLeast"/>
        <w:jc w:val="left"/>
        <w:rPr>
          <w:rFonts w:ascii="微软雅黑" w:eastAsia="微软雅黑" w:hAnsi="微软雅黑" w:cs="宋体"/>
          <w:color w:val="4B4B4B"/>
          <w:kern w:val="0"/>
          <w:sz w:val="24"/>
          <w:szCs w:val="24"/>
        </w:rPr>
      </w:pPr>
      <w:r w:rsidRPr="00BF774E">
        <w:rPr>
          <w:rFonts w:ascii="微软雅黑" w:eastAsia="微软雅黑" w:hAnsi="微软雅黑" w:cs="宋体" w:hint="eastAsia"/>
          <w:color w:val="4B4B4B"/>
          <w:kern w:val="0"/>
          <w:sz w:val="24"/>
          <w:szCs w:val="24"/>
        </w:rPr>
        <w:t xml:space="preserve">　　第十九条 本办法自2021年1月1日起施行。</w:t>
      </w:r>
    </w:p>
    <w:p w:rsidR="001F644E" w:rsidRPr="00BF774E" w:rsidRDefault="001F644E"/>
    <w:sectPr w:rsidR="001F644E" w:rsidRPr="00BF774E" w:rsidSect="001F64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F774E"/>
    <w:rsid w:val="001F644E"/>
    <w:rsid w:val="00496F9E"/>
    <w:rsid w:val="005D358A"/>
    <w:rsid w:val="00713CF7"/>
    <w:rsid w:val="00BF774E"/>
    <w:rsid w:val="00C303D6"/>
    <w:rsid w:val="00D314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F9E"/>
    <w:pPr>
      <w:widowControl w:val="0"/>
      <w:jc w:val="both"/>
    </w:pPr>
  </w:style>
  <w:style w:type="paragraph" w:styleId="1">
    <w:name w:val="heading 1"/>
    <w:basedOn w:val="a"/>
    <w:link w:val="1Char"/>
    <w:uiPriority w:val="9"/>
    <w:qFormat/>
    <w:rsid w:val="00BF774E"/>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496F9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96F9E"/>
    <w:rPr>
      <w:rFonts w:ascii="宋体" w:eastAsia="宋体" w:hAnsi="宋体" w:cs="宋体"/>
      <w:b/>
      <w:bCs/>
      <w:kern w:val="0"/>
      <w:sz w:val="27"/>
      <w:szCs w:val="27"/>
    </w:rPr>
  </w:style>
  <w:style w:type="character" w:customStyle="1" w:styleId="1Char">
    <w:name w:val="标题 1 Char"/>
    <w:basedOn w:val="a0"/>
    <w:link w:val="1"/>
    <w:uiPriority w:val="9"/>
    <w:rsid w:val="00BF774E"/>
    <w:rPr>
      <w:rFonts w:ascii="宋体" w:eastAsia="宋体" w:hAnsi="宋体" w:cs="宋体"/>
      <w:b/>
      <w:bCs/>
      <w:kern w:val="36"/>
      <w:sz w:val="48"/>
      <w:szCs w:val="48"/>
    </w:rPr>
  </w:style>
  <w:style w:type="paragraph" w:styleId="a3">
    <w:name w:val="Normal (Web)"/>
    <w:basedOn w:val="a"/>
    <w:uiPriority w:val="99"/>
    <w:semiHidden/>
    <w:unhideWhenUsed/>
    <w:rsid w:val="00BF774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7914577">
      <w:bodyDiv w:val="1"/>
      <w:marLeft w:val="0"/>
      <w:marRight w:val="0"/>
      <w:marTop w:val="0"/>
      <w:marBottom w:val="0"/>
      <w:divBdr>
        <w:top w:val="none" w:sz="0" w:space="0" w:color="auto"/>
        <w:left w:val="none" w:sz="0" w:space="0" w:color="auto"/>
        <w:bottom w:val="none" w:sz="0" w:space="0" w:color="auto"/>
        <w:right w:val="none" w:sz="0" w:space="0" w:color="auto"/>
      </w:divBdr>
      <w:divsChild>
        <w:div w:id="1849171394">
          <w:marLeft w:val="0"/>
          <w:marRight w:val="0"/>
          <w:marTop w:val="0"/>
          <w:marBottom w:val="0"/>
          <w:divBdr>
            <w:top w:val="none" w:sz="0" w:space="0" w:color="auto"/>
            <w:left w:val="none" w:sz="0" w:space="0" w:color="auto"/>
            <w:bottom w:val="none" w:sz="0" w:space="0" w:color="auto"/>
            <w:right w:val="none" w:sz="0" w:space="0" w:color="auto"/>
          </w:divBdr>
          <w:divsChild>
            <w:div w:id="1242449841">
              <w:marLeft w:val="0"/>
              <w:marRight w:val="0"/>
              <w:marTop w:val="0"/>
              <w:marBottom w:val="0"/>
              <w:divBdr>
                <w:top w:val="none" w:sz="0" w:space="0" w:color="auto"/>
                <w:left w:val="none" w:sz="0" w:space="0" w:color="auto"/>
                <w:bottom w:val="none" w:sz="0" w:space="0" w:color="auto"/>
                <w:right w:val="none" w:sz="0" w:space="0" w:color="auto"/>
              </w:divBdr>
              <w:divsChild>
                <w:div w:id="165780426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2021-01-07T07:23:00Z</dcterms:created>
  <dcterms:modified xsi:type="dcterms:W3CDTF">2021-01-07T07:25:00Z</dcterms:modified>
</cp:coreProperties>
</file>